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26" w:rsidRPr="00CF3126" w:rsidRDefault="00CF3126" w:rsidP="00CF3126">
      <w:pPr>
        <w:spacing w:before="100" w:beforeAutospacing="1" w:after="100" w:afterAutospacing="1" w:line="276" w:lineRule="auto"/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</w:pPr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 xml:space="preserve">Расчетный период для оплаты коммунальных услуг устанавливается равным календарному месяцу. Собственник вносит Плату за жилое помещение, коммунальные и прочие услуги ежемесячно до десятого числа месяца, следующего за истекшим месяцем, на основании выставляемой единой </w:t>
      </w:r>
      <w:proofErr w:type="spellStart"/>
      <w:proofErr w:type="gramStart"/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счет-квитанции</w:t>
      </w:r>
      <w:proofErr w:type="spellEnd"/>
      <w:proofErr w:type="gramEnd"/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, представляемой не позднее первого числа месяца, следующего за истекшим месяцем.</w:t>
      </w:r>
    </w:p>
    <w:p w:rsidR="00CF3126" w:rsidRPr="00CF3126" w:rsidRDefault="00CF3126" w:rsidP="00CF3126">
      <w:pPr>
        <w:spacing w:before="100" w:beforeAutospacing="1" w:after="100" w:afterAutospacing="1" w:line="276" w:lineRule="auto"/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</w:pPr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 xml:space="preserve">Собственники помещений в многоквартирном доме несут </w:t>
      </w:r>
      <w:proofErr w:type="gramStart"/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обязательства</w:t>
      </w:r>
      <w:proofErr w:type="gramEnd"/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 xml:space="preserve"> по оплате коммунальных услуг исходя из показаний коллективного (</w:t>
      </w:r>
      <w:proofErr w:type="spellStart"/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общедомового</w:t>
      </w:r>
      <w:proofErr w:type="spellEnd"/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) прибора учета.</w:t>
      </w:r>
    </w:p>
    <w:p w:rsidR="00CF3126" w:rsidRPr="00CF3126" w:rsidRDefault="00CF3126" w:rsidP="00CF3126">
      <w:pPr>
        <w:spacing w:before="100" w:beforeAutospacing="1" w:after="100" w:afterAutospacing="1" w:line="276" w:lineRule="auto"/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</w:pPr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 xml:space="preserve">Размер платы за холодное водоснабжение, горячее водоснабжение, водоотведение, электроснабжение, газоснабжение и отопление рассчитывается по тарифам, установленным для </w:t>
      </w:r>
      <w:proofErr w:type="spellStart"/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ресурсоснабжающих</w:t>
      </w:r>
      <w:proofErr w:type="spellEnd"/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 xml:space="preserve"> организаций в порядке, определенном законодательством Российской Федерации.</w:t>
      </w:r>
    </w:p>
    <w:p w:rsidR="00CF3126" w:rsidRPr="00CF3126" w:rsidRDefault="00CF3126" w:rsidP="00CF3126">
      <w:pPr>
        <w:spacing w:before="100" w:beforeAutospacing="1" w:after="100" w:afterAutospacing="1" w:line="276" w:lineRule="auto"/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</w:pPr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Расчет размера платы за коммунальные услуги, а также приобретение исполнителем холодной воды, горячей воды, услуг водоотведения, электрической энергии, газа и тепловой энергии осуществляются по тарифам, установленным в соответствии с законодательством Российской Федерации и используемым для расчета размера платы за коммунальные услуги гражданами.</w:t>
      </w:r>
    </w:p>
    <w:p w:rsidR="00CF3126" w:rsidRPr="00CF3126" w:rsidRDefault="00CF3126" w:rsidP="00CF3126">
      <w:pPr>
        <w:spacing w:before="100" w:beforeAutospacing="1" w:after="100" w:afterAutospacing="1" w:line="276" w:lineRule="auto"/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</w:pPr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При наличии в помещениях индивидуальных, общих (квартирных) приборов учета и при отсутствии коллективных (</w:t>
      </w:r>
      <w:proofErr w:type="spellStart"/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общедомовых</w:t>
      </w:r>
      <w:proofErr w:type="spellEnd"/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) приборов учета размер платы за коммунальные услуги определяется исходя из показаний индивидуальных, общих (квартирных) приборов учета.</w:t>
      </w:r>
    </w:p>
    <w:p w:rsidR="00CF3126" w:rsidRPr="00CF3126" w:rsidRDefault="00CF3126" w:rsidP="00CF3126">
      <w:pPr>
        <w:spacing w:before="100" w:beforeAutospacing="1" w:after="100" w:afterAutospacing="1" w:line="276" w:lineRule="auto"/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</w:pPr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При применении тарифов, дифференцированных по времени суток (дневные и ночные) и (или) потребляемой нагрузке за единицу времени, размер платы за коммунальные услуги рассчитывается исходя из показаний приборов учета и соответствующих тарифов.</w:t>
      </w:r>
    </w:p>
    <w:p w:rsidR="00CF3126" w:rsidRPr="00CF3126" w:rsidRDefault="00CF3126" w:rsidP="00CF3126">
      <w:pPr>
        <w:spacing w:before="100" w:beforeAutospacing="1" w:after="100" w:afterAutospacing="1" w:line="276" w:lineRule="auto"/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</w:pPr>
      <w:r w:rsidRPr="00CF3126">
        <w:rPr>
          <w:rFonts w:ascii="10,5" w:eastAsia="Times New Roman" w:hAnsi="10,5" w:cs="Times New Roman"/>
          <w:color w:val="353535"/>
          <w:sz w:val="20"/>
          <w:szCs w:val="20"/>
          <w:lang w:eastAsia="ru-RU"/>
        </w:rPr>
        <w:t>При приготовлении горячей воды с использованием внутридомовых инженерных систем многоквартирного дома (при отсутствии централизованного приготовления горячей воды) размер платы за горячее водоснабжение рассчитывается исходя из показаний приборов учета и соответствующих тарифов на холодную воду и топливо, используемые для приготовления горячей воды. При этом расходы на содержание и ремонт внутридомовых инженерных систем, используемых для приготовления горячей воды, включаются в плату за содержание и ремонт жилого помещения.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2576"/>
        <w:gridCol w:w="2897"/>
        <w:gridCol w:w="1837"/>
      </w:tblGrid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/</w:t>
            </w:r>
            <w:proofErr w:type="spell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Наименование подразделения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Местонахождение подразделения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Территория действия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Мира,53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Фрунзе 58/33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Черных,19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Алтайская,51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Попова,12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Октябрьский пр.,15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Карла Маркса,51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В-Черепанова,56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Максарева</w:t>
            </w:r>
            <w:proofErr w:type="spell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Энтузиастов,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Тагилстроевская,6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Азовская,4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Вагоностроителей,70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Мира,4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Пархоменко,113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Островского 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Ульяновская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Строителей,1а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9 Января,11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Мира,40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Володарского,7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  <w:tr w:rsidR="00CF3126" w:rsidRPr="00CF3126" w:rsidTr="00CF31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ППП №25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Ильича,33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126" w:rsidRPr="00CF3126" w:rsidRDefault="00CF3126" w:rsidP="00CF3126">
            <w:pPr>
              <w:spacing w:line="276" w:lineRule="auto"/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</w:pPr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г</w:t>
            </w:r>
            <w:proofErr w:type="gramStart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.Н</w:t>
            </w:r>
            <w:proofErr w:type="gramEnd"/>
            <w:r w:rsidRPr="00CF3126">
              <w:rPr>
                <w:rFonts w:ascii="10,5" w:eastAsia="Times New Roman" w:hAnsi="10,5" w:cs="Times New Roman"/>
                <w:color w:val="353535"/>
                <w:sz w:val="20"/>
                <w:szCs w:val="20"/>
                <w:lang w:eastAsia="ru-RU"/>
              </w:rPr>
              <w:t>-Тагил</w:t>
            </w:r>
          </w:p>
        </w:tc>
      </w:tr>
    </w:tbl>
    <w:p w:rsidR="0000779A" w:rsidRPr="00CF3126" w:rsidRDefault="0000779A" w:rsidP="00CF3126">
      <w:pPr>
        <w:spacing w:line="276" w:lineRule="auto"/>
        <w:rPr>
          <w:rFonts w:ascii="10,5" w:hAnsi="10,5" w:cs="Times New Roman"/>
          <w:sz w:val="20"/>
          <w:szCs w:val="20"/>
        </w:rPr>
      </w:pPr>
    </w:p>
    <w:sectPr w:rsidR="0000779A" w:rsidRPr="00CF3126" w:rsidSect="00CF312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0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F3126"/>
    <w:rsid w:val="0000779A"/>
    <w:rsid w:val="00296080"/>
    <w:rsid w:val="00331478"/>
    <w:rsid w:val="00C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12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2555</Characters>
  <Application>Microsoft Office Word</Application>
  <DocSecurity>0</DocSecurity>
  <Lines>21</Lines>
  <Paragraphs>5</Paragraphs>
  <ScaleCrop>false</ScaleCrop>
  <Company>*Питер-Company*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2015-05-24T05:30:00Z</dcterms:created>
  <dcterms:modified xsi:type="dcterms:W3CDTF">2015-05-24T05:33:00Z</dcterms:modified>
</cp:coreProperties>
</file>